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80" w:rsidRDefault="00C07580" w:rsidP="00A436AA">
      <w:pPr>
        <w:widowControl w:val="0"/>
        <w:jc w:val="both"/>
        <w:rPr>
          <w:sz w:val="16"/>
          <w:szCs w:val="16"/>
        </w:rPr>
      </w:pPr>
    </w:p>
    <w:p w:rsidR="00C07580" w:rsidRDefault="00C87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Сведения</w:t>
      </w:r>
    </w:p>
    <w:p w:rsidR="00C07580" w:rsidRDefault="00C87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доходах, расходах, об имуществе и обязательствах имущественного характера </w:t>
      </w:r>
    </w:p>
    <w:p w:rsidR="00BD7F3E" w:rsidRDefault="00BD7F3E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заведующего отделом имущественных, земельных отношений и благоустройства </w:t>
      </w:r>
    </w:p>
    <w:p w:rsidR="00C07580" w:rsidRDefault="00BD7F3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администрации городского поселения Октябрьское</w:t>
      </w:r>
      <w:r w:rsidR="00C877CB">
        <w:rPr>
          <w:rFonts w:ascii="PT Astra Serif" w:hAnsi="PT Astra Serif"/>
        </w:rPr>
        <w:t xml:space="preserve"> и членов его семьи</w:t>
      </w:r>
    </w:p>
    <w:p w:rsidR="00C07580" w:rsidRDefault="00C87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(полное наименование должности)</w:t>
      </w:r>
    </w:p>
    <w:p w:rsidR="00C07580" w:rsidRDefault="00C87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 период с 1 января по 31 декабря 20</w:t>
      </w:r>
      <w:r w:rsidR="00A436AA" w:rsidRPr="00A436AA">
        <w:rPr>
          <w:rFonts w:ascii="PT Astra Serif" w:hAnsi="PT Astra Serif"/>
        </w:rPr>
        <w:t>2</w:t>
      </w:r>
      <w:r w:rsidR="00426BF1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года</w:t>
      </w:r>
    </w:p>
    <w:p w:rsidR="00C07580" w:rsidRDefault="00C07580"/>
    <w:tbl>
      <w:tblPr>
        <w:tblW w:w="508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417"/>
        <w:gridCol w:w="993"/>
        <w:gridCol w:w="1426"/>
        <w:gridCol w:w="1550"/>
        <w:gridCol w:w="1418"/>
        <w:gridCol w:w="992"/>
        <w:gridCol w:w="1418"/>
        <w:gridCol w:w="1985"/>
      </w:tblGrid>
      <w:tr w:rsidR="00C07580" w:rsidTr="001D44C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075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0758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</w:p>
          <w:p w:rsidR="00C07580" w:rsidRDefault="00C877CB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годовой доход за отчетный год (руб.) </w:t>
            </w:r>
            <w:hyperlink w:anchor="Par126" w:tgtFrame="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">
              <w:r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126" w:tgtFrame="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">
              <w:r>
                <w:rPr>
                  <w:sz w:val="20"/>
                  <w:szCs w:val="20"/>
                </w:rPr>
                <w:t>&lt;** 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A436AA">
            <w:pPr>
              <w:widowControl w:val="0"/>
              <w:jc w:val="center"/>
              <w:rPr>
                <w:sz w:val="20"/>
                <w:szCs w:val="20"/>
              </w:rPr>
            </w:pPr>
            <w:r w:rsidRPr="00F3608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>
              <w:rPr>
                <w:sz w:val="20"/>
                <w:szCs w:val="20"/>
              </w:rPr>
              <w:t xml:space="preserve">, </w:t>
            </w:r>
            <w:r w:rsidRPr="0004733F">
              <w:rPr>
                <w:rFonts w:eastAsia="Calibri"/>
                <w:bCs/>
                <w:sz w:val="20"/>
                <w:szCs w:val="20"/>
                <w:lang w:eastAsia="en-US"/>
              </w:rPr>
              <w:t>цифровых финансовых активов, цифровой валюты</w:t>
            </w:r>
            <w:r w:rsidRPr="00F36085">
              <w:rPr>
                <w:sz w:val="20"/>
                <w:szCs w:val="20"/>
              </w:rPr>
              <w:t xml:space="preserve"> </w:t>
            </w:r>
            <w:hyperlink w:anchor="Par127" w:tooltip="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" w:history="1">
              <w:r w:rsidRPr="00F36085">
                <w:rPr>
                  <w:color w:val="0000FF"/>
                  <w:sz w:val="20"/>
                  <w:szCs w:val="20"/>
                </w:rPr>
                <w:t>&lt;*</w:t>
              </w:r>
              <w:r w:rsidRPr="00D93EAB">
                <w:rPr>
                  <w:color w:val="0000FF"/>
                  <w:sz w:val="20"/>
                  <w:szCs w:val="20"/>
                </w:rPr>
                <w:t>*</w:t>
              </w:r>
              <w:r w:rsidRPr="00F36085">
                <w:rPr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A436AA" w:rsidTr="001D44C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0758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0758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877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80" w:rsidRDefault="00C07580"/>
        </w:tc>
      </w:tr>
      <w:tr w:rsidR="00BD7F3E" w:rsidTr="001D44CB">
        <w:trPr>
          <w:trHeight w:val="395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Гатицкая</w:t>
            </w:r>
            <w:proofErr w:type="spellEnd"/>
            <w:r>
              <w:rPr>
                <w:sz w:val="20"/>
                <w:szCs w:val="20"/>
              </w:rPr>
              <w:t xml:space="preserve"> Юлия Константиновна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426BF1" w:rsidP="00426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  <w:r w:rsidR="00BD7F3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226</w:t>
            </w:r>
            <w:r w:rsidR="00BD7F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Pr="00BD7F3E" w:rsidRDefault="00BD7F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Vesta GFL</w:t>
            </w:r>
            <w:r w:rsidR="00144BDA">
              <w:rPr>
                <w:sz w:val="20"/>
                <w:szCs w:val="20"/>
                <w:lang w:val="en-US"/>
              </w:rPr>
              <w:t xml:space="preserve"> 110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 w:rsidP="00014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7F3E" w:rsidTr="001D44CB">
        <w:trPr>
          <w:trHeight w:val="361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 w:rsidP="00BD7F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Pr="001D44CB" w:rsidRDefault="001D44C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Chery </w:t>
            </w:r>
            <w:proofErr w:type="spellStart"/>
            <w:r>
              <w:rPr>
                <w:sz w:val="20"/>
                <w:szCs w:val="20"/>
                <w:lang w:val="en-US"/>
              </w:rPr>
              <w:t>tiggo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 </w:t>
            </w: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 w:rsidP="00014D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F3E" w:rsidRDefault="00BD7F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44BDA" w:rsidTr="001D44CB">
        <w:trPr>
          <w:trHeight w:val="49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4BDA" w:rsidRDefault="00144BD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Pr="00A436AA" w:rsidRDefault="00144BDA" w:rsidP="001D44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D44CB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 </w:t>
            </w:r>
            <w:r w:rsidR="001D44CB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,</w:t>
            </w:r>
            <w:r w:rsidR="001D44CB">
              <w:rPr>
                <w:sz w:val="20"/>
                <w:szCs w:val="20"/>
              </w:rPr>
              <w:t>21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Pr="00144BDA" w:rsidRDefault="00144BDA" w:rsidP="00220E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имеет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Default="00144BD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Default="00144BDA" w:rsidP="00567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Default="00144BDA" w:rsidP="00567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Default="00144BDA" w:rsidP="00567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DA" w:rsidRDefault="00144BD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44CB" w:rsidTr="001D44CB">
        <w:trPr>
          <w:trHeight w:val="49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4CB" w:rsidRPr="001D44CB" w:rsidRDefault="001D44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 w:rsidP="00BD7F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имеет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 w:rsidP="00220E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имеет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 w:rsidP="00DF35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 w:rsidP="00DF35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 w:rsidP="00DF35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CB" w:rsidRDefault="001D44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07580" w:rsidRDefault="00C07580">
      <w:pPr>
        <w:widowControl w:val="0"/>
        <w:jc w:val="both"/>
        <w:rPr>
          <w:sz w:val="20"/>
          <w:szCs w:val="20"/>
        </w:rPr>
      </w:pPr>
    </w:p>
    <w:p w:rsidR="00C07580" w:rsidRDefault="00C877CB">
      <w:pPr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C07580" w:rsidRDefault="00C877CB">
      <w:pPr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rPr>
          <w:sz w:val="20"/>
          <w:szCs w:val="20"/>
        </w:rPr>
        <w:t>указывается</w:t>
      </w:r>
      <w:proofErr w:type="gramEnd"/>
      <w:r>
        <w:rPr>
          <w:sz w:val="20"/>
          <w:szCs w:val="20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A436AA" w:rsidRPr="007F2F0E" w:rsidRDefault="00A436AA" w:rsidP="00A436AA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7F2F0E">
        <w:rPr>
          <w:sz w:val="18"/>
          <w:szCs w:val="18"/>
        </w:rPr>
        <w:t xml:space="preserve"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7F2F0E">
        <w:rPr>
          <w:rFonts w:eastAsia="Calibri"/>
          <w:bCs/>
          <w:sz w:val="18"/>
          <w:szCs w:val="18"/>
          <w:lang w:eastAsia="en-US"/>
        </w:rPr>
        <w:t>цифровых финансовых активов, цифровой валюты,</w:t>
      </w:r>
      <w:r w:rsidRPr="007F2F0E">
        <w:rPr>
          <w:sz w:val="18"/>
          <w:szCs w:val="18"/>
        </w:rPr>
        <w:t xml:space="preserve"> если общая сумма таких сделок превышает общий доход данного лица и его супруги (супруга) за три последних года, предшествующих отчетному периоду.».</w:t>
      </w:r>
      <w:proofErr w:type="gramEnd"/>
    </w:p>
    <w:p w:rsidR="00C07580" w:rsidRDefault="00C07580" w:rsidP="00A436AA">
      <w:pPr>
        <w:widowControl w:val="0"/>
        <w:spacing w:before="200"/>
        <w:ind w:firstLine="540"/>
        <w:jc w:val="both"/>
        <w:rPr>
          <w:sz w:val="20"/>
          <w:szCs w:val="20"/>
        </w:rPr>
      </w:pPr>
    </w:p>
    <w:sectPr w:rsidR="00C07580">
      <w:pgSz w:w="16838" w:h="11906" w:orient="landscape"/>
      <w:pgMar w:top="284" w:right="1134" w:bottom="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580"/>
    <w:rsid w:val="00144BDA"/>
    <w:rsid w:val="001D44CB"/>
    <w:rsid w:val="00426BF1"/>
    <w:rsid w:val="00A436AA"/>
    <w:rsid w:val="00BD7F3E"/>
    <w:rsid w:val="00C07580"/>
    <w:rsid w:val="00C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  <w:qFormat/>
  </w:style>
  <w:style w:type="character" w:customStyle="1" w:styleId="a4">
    <w:name w:val="Нижний колонтитул Знак"/>
    <w:qFormat/>
    <w:rPr>
      <w:sz w:val="24"/>
      <w:szCs w:val="24"/>
      <w:lang w:val="ru-RU" w:eastAsia="ru-RU" w:bidi="ar-SA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jc w:val="both"/>
    </w:pPr>
    <w:rPr>
      <w:lang w:val="x-none" w:eastAsia="x-none"/>
    </w:r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Pr>
      <w:rFonts w:ascii="Arial" w:hAnsi="Arial" w:cs="Arial"/>
      <w:sz w:val="24"/>
    </w:rPr>
  </w:style>
  <w:style w:type="paragraph" w:customStyle="1" w:styleId="ConsPlusTitle">
    <w:name w:val="ConsPlusTitle"/>
    <w:qFormat/>
    <w:rPr>
      <w:rFonts w:ascii="Arial" w:hAnsi="Arial" w:cs="Arial"/>
      <w:b/>
      <w:bCs/>
      <w:sz w:val="24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Pr>
      <w:rFonts w:ascii="Arial" w:hAnsi="Arial" w:cs="Arial"/>
      <w:sz w:val="24"/>
    </w:rPr>
  </w:style>
  <w:style w:type="paragraph" w:customStyle="1" w:styleId="Style1">
    <w:name w:val="Style1"/>
    <w:basedOn w:val="a"/>
    <w:qFormat/>
    <w:pPr>
      <w:widowControl w:val="0"/>
      <w:spacing w:line="254" w:lineRule="exact"/>
    </w:pPr>
  </w:style>
  <w:style w:type="paragraph" w:customStyle="1" w:styleId="Style3">
    <w:name w:val="Style3"/>
    <w:basedOn w:val="a"/>
    <w:qFormat/>
    <w:pPr>
      <w:widowControl w:val="0"/>
      <w:spacing w:line="264" w:lineRule="exact"/>
      <w:jc w:val="both"/>
    </w:pPr>
  </w:style>
  <w:style w:type="paragraph" w:customStyle="1" w:styleId="Style4">
    <w:name w:val="Style4"/>
    <w:basedOn w:val="a"/>
    <w:qFormat/>
    <w:pPr>
      <w:widowControl w:val="0"/>
      <w:spacing w:line="259" w:lineRule="exact"/>
      <w:ind w:hanging="1286"/>
    </w:pPr>
  </w:style>
  <w:style w:type="paragraph" w:customStyle="1" w:styleId="Style5">
    <w:name w:val="Style5"/>
    <w:basedOn w:val="a"/>
    <w:qFormat/>
    <w:pPr>
      <w:widowControl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qFormat/>
    <w:pPr>
      <w:widowControl w:val="0"/>
      <w:spacing w:line="264" w:lineRule="exact"/>
    </w:pPr>
  </w:style>
  <w:style w:type="paragraph" w:customStyle="1" w:styleId="Style7">
    <w:name w:val="Style7"/>
    <w:basedOn w:val="a"/>
    <w:qFormat/>
    <w:pPr>
      <w:widowControl w:val="0"/>
      <w:spacing w:line="259" w:lineRule="exact"/>
      <w:ind w:firstLine="504"/>
      <w:jc w:val="both"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widowControl w:val="0"/>
      <w:spacing w:line="322" w:lineRule="exact"/>
    </w:pPr>
  </w:style>
  <w:style w:type="paragraph" w:customStyle="1" w:styleId="af0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KovrigoVN</dc:creator>
  <cp:lastModifiedBy>KovrigoVN</cp:lastModifiedBy>
  <cp:revision>3</cp:revision>
  <cp:lastPrinted>2020-05-07T15:22:00Z</cp:lastPrinted>
  <dcterms:created xsi:type="dcterms:W3CDTF">2021-05-11T11:41:00Z</dcterms:created>
  <dcterms:modified xsi:type="dcterms:W3CDTF">2022-05-15T10:44:00Z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Октябрьского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